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BD" w:rsidRDefault="00266A3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四川商务职业学院文家校区多功能活动厅音响设备</w:t>
      </w:r>
      <w:r w:rsidR="00A55B9F">
        <w:rPr>
          <w:rFonts w:ascii="宋体" w:hAnsi="宋体" w:hint="eastAsia"/>
          <w:b/>
          <w:sz w:val="28"/>
          <w:szCs w:val="28"/>
        </w:rPr>
        <w:t>及安装服务</w:t>
      </w:r>
      <w:r>
        <w:rPr>
          <w:rFonts w:ascii="宋体" w:hAnsi="宋体" w:hint="eastAsia"/>
          <w:b/>
          <w:sz w:val="28"/>
          <w:szCs w:val="28"/>
        </w:rPr>
        <w:t>采购清单</w:t>
      </w:r>
    </w:p>
    <w:tbl>
      <w:tblPr>
        <w:tblStyle w:val="a3"/>
        <w:tblW w:w="14174" w:type="dxa"/>
        <w:tblLayout w:type="fixed"/>
        <w:tblLook w:val="04A0"/>
      </w:tblPr>
      <w:tblGrid>
        <w:gridCol w:w="738"/>
        <w:gridCol w:w="1496"/>
        <w:gridCol w:w="1134"/>
        <w:gridCol w:w="1135"/>
        <w:gridCol w:w="4677"/>
        <w:gridCol w:w="567"/>
        <w:gridCol w:w="426"/>
        <w:gridCol w:w="850"/>
        <w:gridCol w:w="1134"/>
        <w:gridCol w:w="1985"/>
        <w:gridCol w:w="32"/>
      </w:tblGrid>
      <w:tr w:rsidR="002E334F" w:rsidRPr="00BD519E" w:rsidTr="00BD519E"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货物名称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品牌</w:t>
            </w: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规格、型号</w:t>
            </w:r>
          </w:p>
        </w:tc>
        <w:tc>
          <w:tcPr>
            <w:tcW w:w="4677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主要技术参数</w:t>
            </w:r>
          </w:p>
        </w:tc>
        <w:tc>
          <w:tcPr>
            <w:tcW w:w="567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单位</w:t>
            </w:r>
          </w:p>
        </w:tc>
        <w:tc>
          <w:tcPr>
            <w:tcW w:w="42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单价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金额</w:t>
            </w:r>
          </w:p>
        </w:tc>
        <w:tc>
          <w:tcPr>
            <w:tcW w:w="2017" w:type="dxa"/>
            <w:gridSpan w:val="2"/>
            <w:vAlign w:val="center"/>
          </w:tcPr>
          <w:p w:rsidR="00BD519E" w:rsidRDefault="002E334F" w:rsidP="00BD519E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（参考品牌）</w:t>
            </w:r>
          </w:p>
        </w:tc>
      </w:tr>
      <w:tr w:rsidR="002E334F" w:rsidRPr="00BD519E" w:rsidTr="00BD519E"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壁挂音箱</w:t>
            </w:r>
          </w:p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（含壁挂架）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型号:单</w:t>
            </w:r>
            <w:r w:rsidR="00BD519E">
              <w:rPr>
                <w:rFonts w:asciiTheme="minorEastAsia" w:hAnsiTheme="minorEastAsia" w:cstheme="minorEastAsia" w:hint="eastAsia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15寸全频音箱；技术指标:低频反射；频率响应:</w:t>
            </w:r>
            <w:r w:rsidR="00BD519E">
              <w:rPr>
                <w:rFonts w:asciiTheme="minorEastAsia" w:hAnsiTheme="minorEastAsia" w:cstheme="minorEastAsia" w:hint="eastAsia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55HZ-16KHZ;额定功率：</w:t>
            </w:r>
            <w:r w:rsidR="00BD519E">
              <w:rPr>
                <w:rFonts w:asciiTheme="minorEastAsia" w:hAnsiTheme="minorEastAsia" w:cstheme="minorEastAsia" w:hint="eastAsia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500W;最大功率：</w:t>
            </w:r>
            <w:r w:rsidR="00BD519E">
              <w:rPr>
                <w:rFonts w:asciiTheme="minorEastAsia" w:hAnsiTheme="minorEastAsia" w:cstheme="minorEastAsia" w:hint="eastAsia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1000W;标准阻抗：</w:t>
            </w:r>
            <w:r w:rsidR="00590BC2">
              <w:rPr>
                <w:rFonts w:asciiTheme="minorEastAsia" w:hAnsiTheme="minorEastAsia" w:cstheme="minorEastAsia" w:hint="eastAsia"/>
                <w:szCs w:val="21"/>
              </w:rPr>
              <w:t>≤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8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Ω；灵敏度（1W.1m）99db;弥散：90°H/40°V；组件：HF单元 钛金属，压缩驱动，LF单</w:t>
            </w:r>
            <w:bookmarkStart w:id="0" w:name="_GoBack"/>
            <w:bookmarkEnd w:id="0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元:15"锥盆；输入链接:Speakonx2,Phonex2。安装方式：吊装、支架。</w:t>
            </w:r>
          </w:p>
        </w:tc>
        <w:tc>
          <w:tcPr>
            <w:tcW w:w="56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只</w:t>
            </w:r>
          </w:p>
        </w:tc>
        <w:tc>
          <w:tcPr>
            <w:tcW w:w="426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7" w:type="dxa"/>
            <w:gridSpan w:val="2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POLKAUDIO、JBL、EV、YAMAHA、Bose、</w:t>
            </w:r>
            <w:proofErr w:type="spellStart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JMLab</w:t>
            </w:r>
            <w:proofErr w:type="spellEnd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、AVANCE、HZ、LAX、TD、ZSOUND、PHASOUND</w:t>
            </w:r>
          </w:p>
        </w:tc>
      </w:tr>
      <w:tr w:rsidR="002E334F" w:rsidRPr="00BD519E" w:rsidTr="00BD519E"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功率放大器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B06F2D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输出功率：立体声输出2x1000W/8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Ω;总谐波失真：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≤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0.01％；信噪比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105db;输入阻抗：平衡20KΩ/非平衡10 KΩ；输入灵敏度：0db/1V；频率响应：20Hz-20KHz±0.15db；转换速率：50V/us;阻尼系数：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8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Ω/1KHz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50连接器：输入 XLR母，TRS（1/4英寸）输出：接线柱和</w:t>
            </w:r>
            <w:proofErr w:type="spellStart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Speakon</w:t>
            </w:r>
            <w:proofErr w:type="spellEnd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座；指示灯：信号指示、保护指示、过热保护、过载保护；交流输入电压：AC220V/±5。</w:t>
            </w:r>
          </w:p>
        </w:tc>
        <w:tc>
          <w:tcPr>
            <w:tcW w:w="56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426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7" w:type="dxa"/>
            <w:gridSpan w:val="2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品牌（CROWN、Crest、EV、Ma、Peavey、CA）</w:t>
            </w:r>
          </w:p>
        </w:tc>
      </w:tr>
      <w:tr w:rsidR="002E334F" w:rsidRPr="00BD519E" w:rsidTr="00BD519E"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调音台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590BC2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12通道调音台；6个话筒/12个线路输入；通道设置INSERT和增益转换开关；3段均衡，主控立体声双7段图示均衡；10位高精度电平显示；内置99数码效果；各通道带静音开关；带有MP3/USB输入接口；XLR平衡输出。</w:t>
            </w:r>
          </w:p>
        </w:tc>
        <w:tc>
          <w:tcPr>
            <w:tcW w:w="56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426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7" w:type="dxa"/>
            <w:gridSpan w:val="2"/>
          </w:tcPr>
          <w:p w:rsidR="002E334F" w:rsidRPr="00BD519E" w:rsidRDefault="00590BC2" w:rsidP="00590BC2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品牌（SOUNDCRAFT、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YAMAHA、ALLEN＆HEATH、BEHRNGER、</w:t>
            </w:r>
            <w:proofErr w:type="spellStart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RunningMan</w:t>
            </w:r>
            <w:proofErr w:type="spellEnd"/>
            <w:r w:rsidRPr="00BD519E"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</w:tc>
      </w:tr>
      <w:tr w:rsidR="002E334F" w:rsidRPr="00BD519E" w:rsidTr="00BD519E">
        <w:trPr>
          <w:gridAfter w:val="1"/>
          <w:wAfter w:w="32" w:type="dxa"/>
        </w:trPr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一拖二手持U段无线手持话筒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590BC2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一拖二无线话筒；工作频率：</w:t>
            </w:r>
            <w:r w:rsidR="00590BC2">
              <w:rPr>
                <w:rFonts w:asciiTheme="minorEastAsia" w:hAnsiTheme="minorEastAsia" w:cstheme="minorEastAsia" w:hint="eastAsia"/>
                <w:szCs w:val="21"/>
              </w:rPr>
              <w:t>≤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580-830MHz；红外对频；直流输入电压；S/N信噪比：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105db；T.H.D失真：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≤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0.5％；频率响应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40Hz-18KHz;发射功率输出:高功率</w:t>
            </w:r>
            <w:proofErr w:type="gramStart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档</w:t>
            </w:r>
            <w:proofErr w:type="gramEnd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10dbm/低功率档5dbm；拾音头增益调整旋钮：-20db至+35db；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调频方式：宽频FM；最大调制度：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±45KHz；使用电池:2节AA电池。</w:t>
            </w:r>
          </w:p>
        </w:tc>
        <w:tc>
          <w:tcPr>
            <w:tcW w:w="56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套</w:t>
            </w:r>
          </w:p>
        </w:tc>
        <w:tc>
          <w:tcPr>
            <w:tcW w:w="426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5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SENNHEISE、SHURE、BBS、TAKSTAR、AKG、RODE</w:t>
            </w:r>
          </w:p>
        </w:tc>
      </w:tr>
      <w:tr w:rsidR="002E334F" w:rsidRPr="00BD519E" w:rsidTr="00BD519E"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一拖二无线U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lastRenderedPageBreak/>
              <w:t>段头戴话筒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590BC2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一拖二无线话筒；工作频率：</w:t>
            </w:r>
            <w:r w:rsidR="00590BC2">
              <w:rPr>
                <w:rFonts w:asciiTheme="minorEastAsia" w:hAnsiTheme="minorEastAsia" w:cstheme="minorEastAsia" w:hint="eastAsia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580-830MHz；红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lastRenderedPageBreak/>
              <w:t>外对频；直流输入电压；S/N信噪比：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105db；T.H.D失真：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≤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0.5％；频率响应40Hz-18KHz;发射功率输出:高功率</w:t>
            </w:r>
            <w:proofErr w:type="gramStart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档</w:t>
            </w:r>
            <w:proofErr w:type="gramEnd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10dbm/低功率档5dbm；拾音头增益调整旋钮：-20db至+35db；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调频方式：宽频FM；最大调制度：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±45KHz；使用电池:2节AA电池。</w:t>
            </w:r>
          </w:p>
        </w:tc>
        <w:tc>
          <w:tcPr>
            <w:tcW w:w="56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426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7" w:type="dxa"/>
            <w:gridSpan w:val="2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SENNHEISE、SHURE、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BBS、TAKSTAR、AKG、RODE</w:t>
            </w:r>
          </w:p>
        </w:tc>
      </w:tr>
      <w:tr w:rsidR="002E334F" w:rsidRPr="00BD519E" w:rsidTr="00BD519E"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 w:rsidRPr="00BD519E">
              <w:rPr>
                <w:rFonts w:asciiTheme="minorEastAsia" w:hAnsiTheme="minorEastAsia" w:cstheme="minorEastAsia" w:hint="eastAsia"/>
                <w:szCs w:val="21"/>
              </w:rPr>
              <w:t>无线会议</w:t>
            </w:r>
            <w:proofErr w:type="gramEnd"/>
            <w:r w:rsidRPr="00BD519E">
              <w:rPr>
                <w:rFonts w:asciiTheme="minorEastAsia" w:hAnsiTheme="minorEastAsia" w:cstheme="minorEastAsia" w:hint="eastAsia"/>
                <w:szCs w:val="21"/>
              </w:rPr>
              <w:t>话筒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590BC2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一拖二无线话筒；工作频率：</w:t>
            </w:r>
            <w:r w:rsidR="00590BC2">
              <w:rPr>
                <w:rFonts w:asciiTheme="minorEastAsia" w:hAnsiTheme="minorEastAsia" w:cstheme="minorEastAsia" w:hint="eastAsia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580-830MHz；红外对频；直流输入电压；S/N信噪比：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105db；T.H.D失真：</w:t>
            </w:r>
            <w:r w:rsidR="00590BC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≤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0.5％；频率响应40Hz-18KHz;发射功率输出:高功率</w:t>
            </w:r>
            <w:proofErr w:type="gramStart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档</w:t>
            </w:r>
            <w:proofErr w:type="gramEnd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10dbm/低功率档5dbm；拾音头增益调整旋钮：-20db至+35db；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调频方式：宽频FM；最大调制度：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±45KHz；使用电池:2节AA电池。</w:t>
            </w:r>
          </w:p>
        </w:tc>
        <w:tc>
          <w:tcPr>
            <w:tcW w:w="56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套</w:t>
            </w:r>
          </w:p>
        </w:tc>
        <w:tc>
          <w:tcPr>
            <w:tcW w:w="426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7" w:type="dxa"/>
            <w:gridSpan w:val="2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SENNHEISE、SHURE、BBS、TAKSTAR、AKG、RODE</w:t>
            </w:r>
          </w:p>
        </w:tc>
      </w:tr>
      <w:tr w:rsidR="002E334F" w:rsidRPr="00BD519E" w:rsidTr="00BD519E"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机柜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12U加固机柜；不锈钢包角；高密度板材铝合金包边；加长加厚底板；</w:t>
            </w: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9MM胶合板,外贴防火板/可拆卸门,贴鸡蛋棉/9mm胶合板;/标准的前后功放柱子,有方孔</w:t>
            </w:r>
            <w:proofErr w:type="gramStart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和功牙</w:t>
            </w:r>
            <w:proofErr w:type="gramEnd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(5,6mm或10-32nd可供选择)</w:t>
            </w:r>
            <w:proofErr w:type="gramStart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配相应</w:t>
            </w:r>
            <w:proofErr w:type="gramEnd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数量的螺丝/凹凸密封铝/4个镀锌重型工业蝴蝶锁/四个镀锌重型工业抽手/+ 4"对角刹车橡胶轮子</w:t>
            </w:r>
          </w:p>
        </w:tc>
        <w:tc>
          <w:tcPr>
            <w:tcW w:w="56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proofErr w:type="gramStart"/>
            <w:r w:rsidRPr="00BD519E">
              <w:rPr>
                <w:rFonts w:asciiTheme="minorEastAsia" w:hAnsiTheme="minorEastAsia" w:cstheme="minorEastAsia" w:hint="eastAsia"/>
                <w:szCs w:val="21"/>
              </w:rPr>
              <w:t>个</w:t>
            </w:r>
            <w:proofErr w:type="gramEnd"/>
          </w:p>
        </w:tc>
        <w:tc>
          <w:tcPr>
            <w:tcW w:w="426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E334F" w:rsidRPr="00BD519E" w:rsidTr="00BD519E"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线材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线径OD8.5MM （189/0.10mm无氧铜）*2C；截面 2x4平方毫米。</w:t>
            </w:r>
          </w:p>
        </w:tc>
        <w:tc>
          <w:tcPr>
            <w:tcW w:w="567" w:type="dxa"/>
          </w:tcPr>
          <w:p w:rsidR="002E334F" w:rsidRPr="00BD519E" w:rsidRDefault="00BD519E" w:rsidP="00BD519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批</w:t>
            </w:r>
          </w:p>
        </w:tc>
        <w:tc>
          <w:tcPr>
            <w:tcW w:w="426" w:type="dxa"/>
          </w:tcPr>
          <w:p w:rsidR="002E334F" w:rsidRPr="00BD519E" w:rsidRDefault="00BD519E" w:rsidP="00BD519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7" w:type="dxa"/>
            <w:gridSpan w:val="2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E334F" w:rsidRPr="00BD519E" w:rsidTr="00BD519E"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1496" w:type="dxa"/>
            <w:vAlign w:val="center"/>
          </w:tcPr>
          <w:p w:rsidR="00BD519E" w:rsidRDefault="002E334F" w:rsidP="00BD519E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专业</w:t>
            </w:r>
          </w:p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卡</w:t>
            </w:r>
            <w:proofErr w:type="gramStart"/>
            <w:r w:rsidRPr="00BD519E">
              <w:rPr>
                <w:rFonts w:asciiTheme="minorEastAsia" w:hAnsiTheme="minorEastAsia" w:cstheme="minorEastAsia" w:hint="eastAsia"/>
                <w:szCs w:val="21"/>
              </w:rPr>
              <w:t>侬</w:t>
            </w:r>
            <w:proofErr w:type="gramEnd"/>
            <w:r w:rsidRPr="00BD519E">
              <w:rPr>
                <w:rFonts w:asciiTheme="minorEastAsia" w:hAnsiTheme="minorEastAsia" w:cstheme="minorEastAsia" w:hint="eastAsia"/>
                <w:szCs w:val="21"/>
              </w:rPr>
              <w:t>连接线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BD519E">
            <w:pPr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优质、耐用/优级/双声道平行分别屏蔽专用音频信号电缆选用优质进口PVC，无氧铜（OFC）导体，</w:t>
            </w:r>
            <w:proofErr w:type="gramStart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航天级</w:t>
            </w:r>
            <w:proofErr w:type="gramEnd"/>
            <w:r w:rsidRPr="00BD51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聚乙烯（LDPE）/PVC内绝缘，高保真设计、抗干扰能力强、传输信号衰减少。</w:t>
            </w:r>
          </w:p>
        </w:tc>
        <w:tc>
          <w:tcPr>
            <w:tcW w:w="567" w:type="dxa"/>
          </w:tcPr>
          <w:p w:rsidR="002E334F" w:rsidRPr="00BD519E" w:rsidRDefault="00BD519E" w:rsidP="00BD519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批</w:t>
            </w:r>
          </w:p>
        </w:tc>
        <w:tc>
          <w:tcPr>
            <w:tcW w:w="426" w:type="dxa"/>
          </w:tcPr>
          <w:p w:rsidR="002E334F" w:rsidRPr="00BD519E" w:rsidRDefault="00BD519E" w:rsidP="00BD519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7" w:type="dxa"/>
            <w:gridSpan w:val="2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E334F" w:rsidRPr="00BD519E" w:rsidTr="00B12E20">
        <w:trPr>
          <w:trHeight w:val="408"/>
        </w:trPr>
        <w:tc>
          <w:tcPr>
            <w:tcW w:w="738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1496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其它</w:t>
            </w:r>
          </w:p>
        </w:tc>
        <w:tc>
          <w:tcPr>
            <w:tcW w:w="1134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BD519E">
              <w:rPr>
                <w:rFonts w:asciiTheme="minorEastAsia" w:hAnsiTheme="minorEastAsia" w:cstheme="minorEastAsia" w:hint="eastAsia"/>
                <w:szCs w:val="21"/>
              </w:rPr>
              <w:t>辅材、运输、安装、调试</w:t>
            </w:r>
            <w:r w:rsidR="00BD519E">
              <w:rPr>
                <w:rFonts w:asciiTheme="minorEastAsia" w:hAnsiTheme="minorEastAsia" w:cstheme="minorEastAsia" w:hint="eastAsia"/>
                <w:szCs w:val="21"/>
              </w:rPr>
              <w:t>、培训、人工、税费</w:t>
            </w:r>
            <w:r w:rsidRPr="00BD519E">
              <w:rPr>
                <w:rFonts w:asciiTheme="minorEastAsia" w:hAnsiTheme="minorEastAsia" w:cstheme="minorEastAsia" w:hint="eastAsia"/>
                <w:szCs w:val="21"/>
              </w:rPr>
              <w:t>等</w:t>
            </w:r>
          </w:p>
        </w:tc>
        <w:tc>
          <w:tcPr>
            <w:tcW w:w="567" w:type="dxa"/>
          </w:tcPr>
          <w:p w:rsidR="002E334F" w:rsidRPr="00BD519E" w:rsidRDefault="00BD519E" w:rsidP="00BD519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</w:t>
            </w:r>
          </w:p>
        </w:tc>
        <w:tc>
          <w:tcPr>
            <w:tcW w:w="426" w:type="dxa"/>
          </w:tcPr>
          <w:p w:rsidR="002E334F" w:rsidRPr="00BD519E" w:rsidRDefault="00BD519E" w:rsidP="00BD519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7" w:type="dxa"/>
            <w:gridSpan w:val="2"/>
          </w:tcPr>
          <w:p w:rsidR="002E334F" w:rsidRPr="00BD519E" w:rsidRDefault="002E334F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12E20" w:rsidRPr="00BD519E" w:rsidTr="00441543">
        <w:trPr>
          <w:trHeight w:val="450"/>
        </w:trPr>
        <w:tc>
          <w:tcPr>
            <w:tcW w:w="2234" w:type="dxa"/>
            <w:gridSpan w:val="2"/>
            <w:vAlign w:val="center"/>
          </w:tcPr>
          <w:p w:rsidR="00B12E20" w:rsidRPr="00BD519E" w:rsidRDefault="00B12E20" w:rsidP="00BD519E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合计</w:t>
            </w:r>
          </w:p>
        </w:tc>
        <w:tc>
          <w:tcPr>
            <w:tcW w:w="6946" w:type="dxa"/>
            <w:gridSpan w:val="3"/>
            <w:vAlign w:val="center"/>
          </w:tcPr>
          <w:p w:rsidR="00B12E20" w:rsidRPr="00BD519E" w:rsidRDefault="00B12E20" w:rsidP="00BD519E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</w:p>
        </w:tc>
        <w:tc>
          <w:tcPr>
            <w:tcW w:w="567" w:type="dxa"/>
          </w:tcPr>
          <w:p w:rsidR="00B12E20" w:rsidRDefault="00B12E20" w:rsidP="00BD519E">
            <w:pPr>
              <w:rPr>
                <w:rFonts w:asciiTheme="minorEastAsia" w:hAnsiTheme="minorEastAsia" w:cstheme="minorEastAsia" w:hint="eastAsia"/>
                <w:szCs w:val="21"/>
              </w:rPr>
            </w:pPr>
          </w:p>
        </w:tc>
        <w:tc>
          <w:tcPr>
            <w:tcW w:w="426" w:type="dxa"/>
          </w:tcPr>
          <w:p w:rsidR="00B12E20" w:rsidRDefault="00B12E20" w:rsidP="00BD519E">
            <w:pPr>
              <w:rPr>
                <w:rFonts w:asciiTheme="minorEastAsia" w:hAnsiTheme="minorEastAsia" w:cstheme="minorEastAsia" w:hint="eastAsia"/>
                <w:szCs w:val="21"/>
              </w:rPr>
            </w:pPr>
          </w:p>
        </w:tc>
        <w:tc>
          <w:tcPr>
            <w:tcW w:w="850" w:type="dxa"/>
          </w:tcPr>
          <w:p w:rsidR="00B12E20" w:rsidRPr="00BD519E" w:rsidRDefault="00B12E20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</w:tcPr>
          <w:p w:rsidR="00B12E20" w:rsidRPr="00BD519E" w:rsidRDefault="00B12E20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7" w:type="dxa"/>
            <w:gridSpan w:val="2"/>
          </w:tcPr>
          <w:p w:rsidR="00B12E20" w:rsidRPr="00BD519E" w:rsidRDefault="00B12E20" w:rsidP="00BD519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3C1EBD" w:rsidRDefault="003C1EBD"/>
    <w:sectPr w:rsidR="003C1EBD" w:rsidSect="00B12E20">
      <w:pgSz w:w="16838" w:h="11906" w:orient="landscape"/>
      <w:pgMar w:top="1077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3D" w:rsidRDefault="00266A3D" w:rsidP="002E334F">
      <w:r>
        <w:separator/>
      </w:r>
    </w:p>
  </w:endnote>
  <w:endnote w:type="continuationSeparator" w:id="0">
    <w:p w:rsidR="00266A3D" w:rsidRDefault="00266A3D" w:rsidP="002E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3D" w:rsidRDefault="00266A3D" w:rsidP="002E334F">
      <w:r>
        <w:separator/>
      </w:r>
    </w:p>
  </w:footnote>
  <w:footnote w:type="continuationSeparator" w:id="0">
    <w:p w:rsidR="00266A3D" w:rsidRDefault="00266A3D" w:rsidP="002E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1C9"/>
    <w:rsid w:val="00266A3D"/>
    <w:rsid w:val="002E334F"/>
    <w:rsid w:val="003C1EBD"/>
    <w:rsid w:val="004957FC"/>
    <w:rsid w:val="00590BC2"/>
    <w:rsid w:val="005F21C9"/>
    <w:rsid w:val="00735D39"/>
    <w:rsid w:val="00A02C4D"/>
    <w:rsid w:val="00A55B9F"/>
    <w:rsid w:val="00B06F2D"/>
    <w:rsid w:val="00B12E20"/>
    <w:rsid w:val="00BD519E"/>
    <w:rsid w:val="00D75AB2"/>
    <w:rsid w:val="00F04323"/>
    <w:rsid w:val="061C7176"/>
    <w:rsid w:val="7281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3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33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3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33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王智勇</cp:lastModifiedBy>
  <cp:revision>7</cp:revision>
  <dcterms:created xsi:type="dcterms:W3CDTF">2019-10-10T05:05:00Z</dcterms:created>
  <dcterms:modified xsi:type="dcterms:W3CDTF">2019-10-16T06:08:00Z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